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3311D3" w14:textId="77777777" w:rsidR="001B0F08" w:rsidRPr="001B0F08" w:rsidRDefault="001B0F08" w:rsidP="001B0F08">
      <w:pPr>
        <w:spacing w:before="240" w:after="240"/>
        <w:jc w:val="center"/>
        <w:rPr>
          <w:rFonts w:ascii="Arial" w:eastAsia="Arial" w:hAnsi="Arial" w:cs="Arial"/>
          <w:b/>
        </w:rPr>
      </w:pPr>
      <w:r w:rsidRPr="001B0F08">
        <w:rPr>
          <w:rFonts w:ascii="Arial" w:eastAsia="Arial" w:hAnsi="Arial" w:cs="Arial"/>
          <w:b/>
        </w:rPr>
        <w:t>APRUEBA GOBIERNO DE ANA PATY PERALTA REGLAMENTO DEL CONSEJO DE PAZ Y JUSTICIA CÍVICA</w:t>
      </w:r>
    </w:p>
    <w:p w14:paraId="7395144B" w14:textId="201FB662" w:rsidR="001B0F08" w:rsidRPr="001B0F08" w:rsidRDefault="001B0F08" w:rsidP="001B0F08">
      <w:pPr>
        <w:pStyle w:val="Prrafodelista"/>
        <w:numPr>
          <w:ilvl w:val="0"/>
          <w:numId w:val="6"/>
        </w:numPr>
        <w:spacing w:before="240" w:after="240"/>
        <w:jc w:val="both"/>
        <w:rPr>
          <w:rFonts w:ascii="Arial" w:eastAsia="Arial" w:hAnsi="Arial" w:cs="Arial"/>
          <w:bCs/>
        </w:rPr>
      </w:pPr>
      <w:r w:rsidRPr="001B0F08">
        <w:rPr>
          <w:rFonts w:ascii="Arial" w:eastAsia="Arial" w:hAnsi="Arial" w:cs="Arial"/>
          <w:bCs/>
        </w:rPr>
        <w:t xml:space="preserve">Primer municipio de Quintana Roo en hacerlo </w:t>
      </w:r>
    </w:p>
    <w:p w14:paraId="4643FC1D" w14:textId="77777777" w:rsidR="001B0F08" w:rsidRPr="001B0F08" w:rsidRDefault="001B0F08" w:rsidP="001B0F08">
      <w:pPr>
        <w:spacing w:before="240" w:after="240"/>
        <w:jc w:val="both"/>
        <w:rPr>
          <w:rFonts w:ascii="Arial" w:eastAsia="Arial" w:hAnsi="Arial" w:cs="Arial"/>
          <w:bCs/>
        </w:rPr>
      </w:pPr>
      <w:r w:rsidRPr="001B0F08">
        <w:rPr>
          <w:rFonts w:ascii="Arial" w:eastAsia="Arial" w:hAnsi="Arial" w:cs="Arial"/>
          <w:b/>
        </w:rPr>
        <w:t>Cancún, Q. R., a 30 de octubre de 2025.-</w:t>
      </w:r>
      <w:r w:rsidRPr="001B0F08">
        <w:rPr>
          <w:rFonts w:ascii="Arial" w:eastAsia="Arial" w:hAnsi="Arial" w:cs="Arial"/>
          <w:bCs/>
        </w:rPr>
        <w:t xml:space="preserve"> En el marco de la Vigésima Séptima Sesión Ordinaria, el Cabildo de Benito Juárez aprobó de forma unánime turnar a Comisiones Unidas la iniciativa de la Presidenta Municipal, Ana Paty Peralta, en la que se expide el Reglamento del Consejo de Paz y Justicia Cívica del Municipio de Benito Juárez, Quintana Roo, convirtiéndose en el primer municipio de la Entidad en aprobar los Comités de Paz, homologándose a la política nacional de construcción de paz impulsada por la Presidenta de México, Claudia Sheinbaum Pardo. </w:t>
      </w:r>
    </w:p>
    <w:p w14:paraId="5CEE6929" w14:textId="77777777" w:rsidR="001B0F08" w:rsidRPr="001B0F08" w:rsidRDefault="001B0F08" w:rsidP="001B0F08">
      <w:pPr>
        <w:spacing w:before="240" w:after="240"/>
        <w:jc w:val="both"/>
        <w:rPr>
          <w:rFonts w:ascii="Arial" w:eastAsia="Arial" w:hAnsi="Arial" w:cs="Arial"/>
          <w:bCs/>
        </w:rPr>
      </w:pPr>
      <w:r w:rsidRPr="001B0F08">
        <w:rPr>
          <w:rFonts w:ascii="Arial" w:eastAsia="Arial" w:hAnsi="Arial" w:cs="Arial"/>
          <w:bCs/>
        </w:rPr>
        <w:t xml:space="preserve">A través de dicho Reglamento, detalló la </w:t>
      </w:r>
      <w:proofErr w:type="gramStart"/>
      <w:r w:rsidRPr="001B0F08">
        <w:rPr>
          <w:rFonts w:ascii="Arial" w:eastAsia="Arial" w:hAnsi="Arial" w:cs="Arial"/>
          <w:bCs/>
        </w:rPr>
        <w:t>Alcaldesa</w:t>
      </w:r>
      <w:proofErr w:type="gramEnd"/>
      <w:r w:rsidRPr="001B0F08">
        <w:rPr>
          <w:rFonts w:ascii="Arial" w:eastAsia="Arial" w:hAnsi="Arial" w:cs="Arial"/>
          <w:bCs/>
        </w:rPr>
        <w:t>, se aprovecharán los conocimientos de los 317 comités vecinales que existen en Cancún, quienes trabajarán en conjunto con el Ayuntamiento para construir la paz desde la comunidad y sus colonias.</w:t>
      </w:r>
    </w:p>
    <w:p w14:paraId="15338C91" w14:textId="77777777" w:rsidR="001B0F08" w:rsidRPr="001B0F08" w:rsidRDefault="001B0F08" w:rsidP="001B0F08">
      <w:pPr>
        <w:spacing w:before="240" w:after="240"/>
        <w:jc w:val="both"/>
        <w:rPr>
          <w:rFonts w:ascii="Arial" w:eastAsia="Arial" w:hAnsi="Arial" w:cs="Arial"/>
          <w:bCs/>
        </w:rPr>
      </w:pPr>
      <w:r w:rsidRPr="001B0F08">
        <w:rPr>
          <w:rFonts w:ascii="Arial" w:eastAsia="Arial" w:hAnsi="Arial" w:cs="Arial"/>
          <w:bCs/>
        </w:rPr>
        <w:t>“Hoy damos un paso muy importante en nuestro compromiso de seguir construyendo un Cancún de armonía, de convivencia pacífica y sobre todo de paz duradera”, afirmó la Primera Autoridad Municipal.</w:t>
      </w:r>
    </w:p>
    <w:p w14:paraId="3AC62B74" w14:textId="77777777" w:rsidR="001B0F08" w:rsidRPr="001B0F08" w:rsidRDefault="001B0F08" w:rsidP="001B0F08">
      <w:pPr>
        <w:spacing w:before="240" w:after="240"/>
        <w:jc w:val="both"/>
        <w:rPr>
          <w:rFonts w:ascii="Arial" w:eastAsia="Arial" w:hAnsi="Arial" w:cs="Arial"/>
          <w:bCs/>
        </w:rPr>
      </w:pPr>
      <w:r w:rsidRPr="001B0F08">
        <w:rPr>
          <w:rFonts w:ascii="Arial" w:eastAsia="Arial" w:hAnsi="Arial" w:cs="Arial"/>
          <w:bCs/>
        </w:rPr>
        <w:t xml:space="preserve">En otro punto del orden del día, el cuerpo </w:t>
      </w:r>
      <w:proofErr w:type="spellStart"/>
      <w:r w:rsidRPr="001B0F08">
        <w:rPr>
          <w:rFonts w:ascii="Arial" w:eastAsia="Arial" w:hAnsi="Arial" w:cs="Arial"/>
          <w:bCs/>
        </w:rPr>
        <w:t>cabildar</w:t>
      </w:r>
      <w:proofErr w:type="spellEnd"/>
      <w:r w:rsidRPr="001B0F08">
        <w:rPr>
          <w:rFonts w:ascii="Arial" w:eastAsia="Arial" w:hAnsi="Arial" w:cs="Arial"/>
          <w:bCs/>
        </w:rPr>
        <w:t xml:space="preserve"> aprobó por unanimidad la celebración de convenios de incorporación al régimen obligatorio del Instituto Mexicano del Seguro Social (IMSS), para los trabajadores que prestan sus servicios a diversos Organismos Descentralizados del Municipio de Benito Juárez, Quintana Roo, a efecto de dar certeza jurídica respecto del pleno ejercicio del derecho humano a la seguridad social.</w:t>
      </w:r>
    </w:p>
    <w:p w14:paraId="785DF6D6" w14:textId="77777777" w:rsidR="001B0F08" w:rsidRPr="001B0F08" w:rsidRDefault="001B0F08" w:rsidP="001B0F08">
      <w:pPr>
        <w:spacing w:before="240" w:after="240"/>
        <w:jc w:val="both"/>
        <w:rPr>
          <w:rFonts w:ascii="Arial" w:eastAsia="Arial" w:hAnsi="Arial" w:cs="Arial"/>
          <w:bCs/>
        </w:rPr>
      </w:pPr>
      <w:r w:rsidRPr="001B0F08">
        <w:rPr>
          <w:rFonts w:ascii="Arial" w:eastAsia="Arial" w:hAnsi="Arial" w:cs="Arial"/>
          <w:bCs/>
        </w:rPr>
        <w:t xml:space="preserve">Finalmente, el cuerpo colegiado avaló de forma unánime la propuesta de Ana Paty Peralta, respecto al nombramiento de José Agustín Hernández Salazar como director general del Organismo Público Descentralizado denominado Instituto Municipal de la Juventud (IMJUVE), a quien la Primera Autoridad Municipal tomó protesta y le encomendó impulsar, acompañar y abrir espacios reales para el desarrollo de la juventud cancunense. </w:t>
      </w:r>
    </w:p>
    <w:p w14:paraId="47D37989" w14:textId="77777777" w:rsidR="001B0F08" w:rsidRPr="001B0F08" w:rsidRDefault="001B0F08" w:rsidP="001B0F08">
      <w:pPr>
        <w:spacing w:before="240" w:after="240"/>
        <w:jc w:val="both"/>
        <w:rPr>
          <w:rFonts w:ascii="Arial" w:eastAsia="Arial" w:hAnsi="Arial" w:cs="Arial"/>
          <w:bCs/>
        </w:rPr>
      </w:pPr>
    </w:p>
    <w:p w14:paraId="16EA581C" w14:textId="45033F1B" w:rsidR="001B0F08" w:rsidRPr="001B0F08" w:rsidRDefault="001B0F08" w:rsidP="001B0F08">
      <w:pPr>
        <w:spacing w:before="240" w:after="240"/>
        <w:jc w:val="center"/>
        <w:rPr>
          <w:rFonts w:ascii="Arial" w:eastAsia="Arial" w:hAnsi="Arial" w:cs="Arial"/>
          <w:b/>
        </w:rPr>
      </w:pPr>
      <w:r w:rsidRPr="001B0F08">
        <w:rPr>
          <w:rFonts w:ascii="Arial" w:eastAsia="Arial" w:hAnsi="Arial" w:cs="Arial"/>
          <w:b/>
        </w:rPr>
        <w:t>****</w:t>
      </w:r>
      <w:r w:rsidRPr="001B0F08">
        <w:rPr>
          <w:rFonts w:ascii="Arial" w:eastAsia="Arial" w:hAnsi="Arial" w:cs="Arial"/>
          <w:b/>
        </w:rPr>
        <w:t>*********</w:t>
      </w:r>
    </w:p>
    <w:p w14:paraId="1DA7FF2D" w14:textId="77777777" w:rsidR="001B0F08" w:rsidRPr="001B0F08" w:rsidRDefault="001B0F08" w:rsidP="001B0F08">
      <w:pPr>
        <w:spacing w:before="240" w:after="240"/>
        <w:jc w:val="center"/>
        <w:rPr>
          <w:rFonts w:ascii="Arial" w:eastAsia="Arial" w:hAnsi="Arial" w:cs="Arial"/>
          <w:b/>
        </w:rPr>
      </w:pPr>
      <w:r w:rsidRPr="001B0F08">
        <w:rPr>
          <w:rFonts w:ascii="Arial" w:eastAsia="Arial" w:hAnsi="Arial" w:cs="Arial"/>
          <w:b/>
        </w:rPr>
        <w:t>COMPLEMENTO INFORMATIVO</w:t>
      </w:r>
    </w:p>
    <w:p w14:paraId="50F510B4" w14:textId="77777777" w:rsidR="001B0F08" w:rsidRPr="001B0F08" w:rsidRDefault="001B0F08" w:rsidP="001B0F08">
      <w:pPr>
        <w:spacing w:before="240" w:after="240"/>
        <w:jc w:val="both"/>
        <w:rPr>
          <w:rFonts w:ascii="Arial" w:eastAsia="Arial" w:hAnsi="Arial" w:cs="Arial"/>
          <w:bCs/>
        </w:rPr>
      </w:pPr>
    </w:p>
    <w:p w14:paraId="648E9B6F" w14:textId="77777777" w:rsidR="001B0F08" w:rsidRPr="001B0F08" w:rsidRDefault="001B0F08" w:rsidP="001B0F08">
      <w:pPr>
        <w:spacing w:before="240" w:after="240"/>
        <w:jc w:val="both"/>
        <w:rPr>
          <w:rFonts w:ascii="Arial" w:eastAsia="Arial" w:hAnsi="Arial" w:cs="Arial"/>
          <w:bCs/>
        </w:rPr>
      </w:pPr>
      <w:r w:rsidRPr="001B0F08">
        <w:rPr>
          <w:rFonts w:ascii="Arial" w:eastAsia="Arial" w:hAnsi="Arial" w:cs="Arial"/>
          <w:bCs/>
        </w:rPr>
        <w:t>HECHO:</w:t>
      </w:r>
    </w:p>
    <w:p w14:paraId="1C5CB9AE" w14:textId="4DEDED8E" w:rsidR="00D75208" w:rsidRPr="00FF03DE" w:rsidRDefault="001B0F08" w:rsidP="001B0F08">
      <w:pPr>
        <w:spacing w:before="240" w:after="240"/>
        <w:jc w:val="both"/>
        <w:rPr>
          <w:rFonts w:ascii="Arial" w:eastAsia="Arial" w:hAnsi="Arial" w:cs="Arial"/>
          <w:bCs/>
        </w:rPr>
      </w:pPr>
      <w:r w:rsidRPr="001B0F08">
        <w:rPr>
          <w:rFonts w:ascii="Arial" w:eastAsia="Arial" w:hAnsi="Arial" w:cs="Arial"/>
          <w:bCs/>
        </w:rPr>
        <w:t>Organismos Descentralizados del Municipio de Benito Juárez considerados en los convenios de incorporación al régimen obligatorio del Instituto Mexicano del Seguro Social (IMSS): Sistema para el Desarrollo Integral de la Familia (DIF), Instituto Municipal de la Mujer (IMM), Instituto Municipal de la Cultura y las Artes (ICA), Instituto Municipal del Deporte (ID), Instituto Municipal de Desarrollo Administrativo e Innovación (IMDAI), Instituto de Planeación para el Desarrollo Urbano Municipal (IMPLAN), Radio Cultural Ayuntamiento (RCA) y el Instituto de Regularización para el Bienestar Patrimonial (INBIPA).</w:t>
      </w:r>
    </w:p>
    <w:sectPr w:rsidR="00D75208" w:rsidRPr="00FF03DE">
      <w:headerReference w:type="default" r:id="rId8"/>
      <w:footerReference w:type="default" r:id="rId9"/>
      <w:pgSz w:w="12240" w:h="15840"/>
      <w:pgMar w:top="1417" w:right="1701" w:bottom="1417" w:left="1701" w:header="209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2BDE0" w14:textId="77777777" w:rsidR="00284AFC" w:rsidRDefault="00284AFC">
      <w:r>
        <w:separator/>
      </w:r>
    </w:p>
  </w:endnote>
  <w:endnote w:type="continuationSeparator" w:id="0">
    <w:p w14:paraId="0539D1FE" w14:textId="77777777" w:rsidR="00284AFC" w:rsidRDefault="00284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6A54F" w14:textId="77777777" w:rsidR="00F03A72" w:rsidRDefault="005451C5">
    <w:pPr>
      <w:pBdr>
        <w:top w:val="nil"/>
        <w:left w:val="nil"/>
        <w:bottom w:val="nil"/>
        <w:right w:val="nil"/>
        <w:between w:val="nil"/>
      </w:pBdr>
      <w:tabs>
        <w:tab w:val="center" w:pos="4419"/>
        <w:tab w:val="right" w:pos="8838"/>
      </w:tabs>
      <w:rPr>
        <w:color w:val="000000"/>
        <w:sz w:val="22"/>
        <w:szCs w:val="22"/>
      </w:rPr>
    </w:pPr>
    <w:r>
      <w:rPr>
        <w:noProof/>
      </w:rPr>
      <w:drawing>
        <wp:anchor distT="0" distB="0" distL="0" distR="0" simplePos="0" relativeHeight="251660288" behindDoc="1" locked="0" layoutInCell="1" hidden="0" allowOverlap="1" wp14:anchorId="72C6A554" wp14:editId="72C6A555">
          <wp:simplePos x="0" y="0"/>
          <wp:positionH relativeFrom="column">
            <wp:posOffset>-1080134</wp:posOffset>
          </wp:positionH>
          <wp:positionV relativeFrom="paragraph">
            <wp:posOffset>-45719</wp:posOffset>
          </wp:positionV>
          <wp:extent cx="7766050" cy="502920"/>
          <wp:effectExtent l="0" t="0" r="0" b="0"/>
          <wp:wrapNone/>
          <wp:docPr id="21267842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92273" b="2722"/>
                  <a:stretch>
                    <a:fillRect/>
                  </a:stretch>
                </pic:blipFill>
                <pic:spPr>
                  <a:xfrm>
                    <a:off x="0" y="0"/>
                    <a:ext cx="7766050" cy="50292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211803" w14:textId="77777777" w:rsidR="00284AFC" w:rsidRDefault="00284AFC">
      <w:r>
        <w:separator/>
      </w:r>
    </w:p>
  </w:footnote>
  <w:footnote w:type="continuationSeparator" w:id="0">
    <w:p w14:paraId="4EF776F8" w14:textId="77777777" w:rsidR="00284AFC" w:rsidRDefault="00284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6A54D" w14:textId="77777777" w:rsidR="00F03A72" w:rsidRDefault="005451C5">
    <w:pPr>
      <w:jc w:val="center"/>
      <w:rPr>
        <w:color w:val="000000"/>
        <w:sz w:val="22"/>
        <w:szCs w:val="22"/>
      </w:rPr>
    </w:pPr>
    <w:r>
      <w:rPr>
        <w:noProof/>
      </w:rPr>
      <w:drawing>
        <wp:anchor distT="0" distB="0" distL="0" distR="0" simplePos="0" relativeHeight="251658240" behindDoc="1" locked="0" layoutInCell="1" hidden="0" allowOverlap="1" wp14:anchorId="72C6A550" wp14:editId="72C6A551">
          <wp:simplePos x="0" y="0"/>
          <wp:positionH relativeFrom="column">
            <wp:posOffset>-1073784</wp:posOffset>
          </wp:positionH>
          <wp:positionV relativeFrom="paragraph">
            <wp:posOffset>-1340484</wp:posOffset>
          </wp:positionV>
          <wp:extent cx="7766050" cy="1043940"/>
          <wp:effectExtent l="0" t="0" r="0" b="0"/>
          <wp:wrapNone/>
          <wp:docPr id="21267842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488" b="86124"/>
                  <a:stretch>
                    <a:fillRect/>
                  </a:stretch>
                </pic:blipFill>
                <pic:spPr>
                  <a:xfrm>
                    <a:off x="0" y="0"/>
                    <a:ext cx="7766050" cy="104394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72C6A552" wp14:editId="72C6A553">
              <wp:simplePos x="0" y="0"/>
              <wp:positionH relativeFrom="column">
                <wp:posOffset>4038600</wp:posOffset>
              </wp:positionH>
              <wp:positionV relativeFrom="paragraph">
                <wp:posOffset>-279399</wp:posOffset>
              </wp:positionV>
              <wp:extent cx="2367280" cy="342257"/>
              <wp:effectExtent l="0" t="0" r="0" b="0"/>
              <wp:wrapNone/>
              <wp:docPr id="2126784213" name="Rectángulo 2126784213"/>
              <wp:cNvGraphicFramePr/>
              <a:graphic xmlns:a="http://schemas.openxmlformats.org/drawingml/2006/main">
                <a:graphicData uri="http://schemas.microsoft.com/office/word/2010/wordprocessingShape">
                  <wps:wsp>
                    <wps:cNvSpPr/>
                    <wps:spPr>
                      <a:xfrm>
                        <a:off x="4168710" y="3619980"/>
                        <a:ext cx="2354580" cy="320040"/>
                      </a:xfrm>
                      <a:prstGeom prst="rect">
                        <a:avLst/>
                      </a:prstGeom>
                      <a:solidFill>
                        <a:schemeClr val="lt1"/>
                      </a:solidFill>
                      <a:ln w="12700" cap="flat" cmpd="sng">
                        <a:solidFill>
                          <a:schemeClr val="dk1"/>
                        </a:solidFill>
                        <a:prstDash val="solid"/>
                        <a:miter lim="800000"/>
                        <a:headEnd type="none" w="sm" len="sm"/>
                        <a:tailEnd type="none" w="sm" len="sm"/>
                      </a:ln>
                    </wps:spPr>
                    <wps:txbx>
                      <w:txbxContent>
                        <w:p w14:paraId="72C6A556" w14:textId="6B47EBEE" w:rsidR="00F03A72" w:rsidRDefault="005451C5">
                          <w:pPr>
                            <w:textDirection w:val="btLr"/>
                          </w:pPr>
                          <w:r>
                            <w:rPr>
                              <w:b/>
                              <w:color w:val="000000"/>
                            </w:rPr>
                            <w:t>Comunicado de prensa: 1</w:t>
                          </w:r>
                          <w:r w:rsidR="00EE6DDF">
                            <w:rPr>
                              <w:b/>
                              <w:color w:val="000000"/>
                            </w:rPr>
                            <w:t>60</w:t>
                          </w:r>
                          <w:r w:rsidR="00823BBA">
                            <w:rPr>
                              <w:b/>
                              <w:color w:val="000000"/>
                            </w:rPr>
                            <w:t>2</w:t>
                          </w:r>
                        </w:p>
                      </w:txbxContent>
                    </wps:txbx>
                    <wps:bodyPr spcFirstLastPara="1" wrap="square" lIns="91425" tIns="45700" rIns="91425" bIns="45700" anchor="ctr" anchorCtr="0">
                      <a:noAutofit/>
                    </wps:bodyPr>
                  </wps:wsp>
                </a:graphicData>
              </a:graphic>
            </wp:anchor>
          </w:drawing>
        </mc:Choice>
        <mc:Fallback>
          <w:pict>
            <v:rect w14:anchorId="72C6A552" id="Rectángulo 2126784213" o:spid="_x0000_s1026" style="position:absolute;left:0;text-align:left;margin-left:318pt;margin-top:-22pt;width:186.4pt;height:26.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" fillcolor="white [3201]" strokecolor="black [3200]" strokeweight="1pt">
              <v:stroke startarrowwidth="narrow" startarrowlength="short" endarrowwidth="narrow" endarrowlength="short"/>
              <v:textbox inset="2.53958mm,1.2694mm,2.53958mm,1.2694mm">
                <w:txbxContent>
                  <w:p w14:paraId="72C6A556" w14:textId="6B47EBEE" w:rsidR="00F03A72" w:rsidRDefault="005451C5">
                    <w:pPr>
                      <w:textDirection w:val="btLr"/>
                    </w:pPr>
                    <w:r>
                      <w:rPr>
                        <w:b/>
                        <w:color w:val="000000"/>
                      </w:rPr>
                      <w:t>Comunicado de prensa: 1</w:t>
                    </w:r>
                    <w:r w:rsidR="00EE6DDF">
                      <w:rPr>
                        <w:b/>
                        <w:color w:val="000000"/>
                      </w:rPr>
                      <w:t>60</w:t>
                    </w:r>
                    <w:r w:rsidR="00823BBA">
                      <w:rPr>
                        <w:b/>
                        <w:color w:val="000000"/>
                      </w:rPr>
                      <w:t>2</w:t>
                    </w:r>
                  </w:p>
                </w:txbxContent>
              </v:textbox>
            </v:rect>
          </w:pict>
        </mc:Fallback>
      </mc:AlternateContent>
    </w:r>
  </w:p>
  <w:p w14:paraId="72C6A54E" w14:textId="77777777" w:rsidR="00F03A72" w:rsidRDefault="00F03A72">
    <w:pPr>
      <w:pBdr>
        <w:top w:val="nil"/>
        <w:left w:val="nil"/>
        <w:bottom w:val="nil"/>
        <w:right w:val="nil"/>
        <w:between w:val="nil"/>
      </w:pBdr>
      <w:tabs>
        <w:tab w:val="center" w:pos="4419"/>
        <w:tab w:val="right" w:pos="8838"/>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A5770"/>
    <w:multiLevelType w:val="hybridMultilevel"/>
    <w:tmpl w:val="698ED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199197A"/>
    <w:multiLevelType w:val="hybridMultilevel"/>
    <w:tmpl w:val="46465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EF5869"/>
    <w:multiLevelType w:val="hybridMultilevel"/>
    <w:tmpl w:val="FEC44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B8E1DDC"/>
    <w:multiLevelType w:val="hybridMultilevel"/>
    <w:tmpl w:val="6BD2B4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9BD2C43"/>
    <w:multiLevelType w:val="multilevel"/>
    <w:tmpl w:val="75D60B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1E6764E"/>
    <w:multiLevelType w:val="hybridMultilevel"/>
    <w:tmpl w:val="C3BE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10580453">
    <w:abstractNumId w:val="4"/>
  </w:num>
  <w:num w:numId="2" w16cid:durableId="1928533176">
    <w:abstractNumId w:val="0"/>
  </w:num>
  <w:num w:numId="3" w16cid:durableId="1759864102">
    <w:abstractNumId w:val="2"/>
  </w:num>
  <w:num w:numId="4" w16cid:durableId="1560508292">
    <w:abstractNumId w:val="5"/>
  </w:num>
  <w:num w:numId="5" w16cid:durableId="959608607">
    <w:abstractNumId w:val="1"/>
  </w:num>
  <w:num w:numId="6" w16cid:durableId="71586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A72"/>
    <w:rsid w:val="00036351"/>
    <w:rsid w:val="000501EB"/>
    <w:rsid w:val="000602E2"/>
    <w:rsid w:val="000E7205"/>
    <w:rsid w:val="00146637"/>
    <w:rsid w:val="0019118C"/>
    <w:rsid w:val="001B0F08"/>
    <w:rsid w:val="001C4B9A"/>
    <w:rsid w:val="00244125"/>
    <w:rsid w:val="00244D80"/>
    <w:rsid w:val="00275A4E"/>
    <w:rsid w:val="00276F82"/>
    <w:rsid w:val="00284AFC"/>
    <w:rsid w:val="002A20F0"/>
    <w:rsid w:val="002B4124"/>
    <w:rsid w:val="002B50B2"/>
    <w:rsid w:val="002C2EFD"/>
    <w:rsid w:val="003065A5"/>
    <w:rsid w:val="00330128"/>
    <w:rsid w:val="00334350"/>
    <w:rsid w:val="00360BC1"/>
    <w:rsid w:val="00363841"/>
    <w:rsid w:val="00386A95"/>
    <w:rsid w:val="003C522E"/>
    <w:rsid w:val="004220AD"/>
    <w:rsid w:val="0044719A"/>
    <w:rsid w:val="00454783"/>
    <w:rsid w:val="00477A9A"/>
    <w:rsid w:val="0048148C"/>
    <w:rsid w:val="00484BED"/>
    <w:rsid w:val="004F4098"/>
    <w:rsid w:val="00500FCA"/>
    <w:rsid w:val="00540700"/>
    <w:rsid w:val="005451C5"/>
    <w:rsid w:val="005615BA"/>
    <w:rsid w:val="005B19F6"/>
    <w:rsid w:val="005B50BA"/>
    <w:rsid w:val="005C2013"/>
    <w:rsid w:val="006351FA"/>
    <w:rsid w:val="00663836"/>
    <w:rsid w:val="006D6E6B"/>
    <w:rsid w:val="00703FD7"/>
    <w:rsid w:val="00737FC8"/>
    <w:rsid w:val="007B6703"/>
    <w:rsid w:val="007E0FCA"/>
    <w:rsid w:val="00823BBA"/>
    <w:rsid w:val="008540E2"/>
    <w:rsid w:val="0089669B"/>
    <w:rsid w:val="008A0AD5"/>
    <w:rsid w:val="008E604A"/>
    <w:rsid w:val="008F390E"/>
    <w:rsid w:val="00912DE7"/>
    <w:rsid w:val="009143D6"/>
    <w:rsid w:val="00975B0E"/>
    <w:rsid w:val="009C5071"/>
    <w:rsid w:val="00A03744"/>
    <w:rsid w:val="00A13E7D"/>
    <w:rsid w:val="00A53C50"/>
    <w:rsid w:val="00A72B6E"/>
    <w:rsid w:val="00A85867"/>
    <w:rsid w:val="00A864C3"/>
    <w:rsid w:val="00AD0D8A"/>
    <w:rsid w:val="00B26DC9"/>
    <w:rsid w:val="00B353D1"/>
    <w:rsid w:val="00B53CF6"/>
    <w:rsid w:val="00B730A6"/>
    <w:rsid w:val="00C50357"/>
    <w:rsid w:val="00C77412"/>
    <w:rsid w:val="00CC1427"/>
    <w:rsid w:val="00CD1CC4"/>
    <w:rsid w:val="00CD2043"/>
    <w:rsid w:val="00D66BB6"/>
    <w:rsid w:val="00D75208"/>
    <w:rsid w:val="00DB5AA4"/>
    <w:rsid w:val="00E94A60"/>
    <w:rsid w:val="00EE6DDF"/>
    <w:rsid w:val="00EE78A7"/>
    <w:rsid w:val="00EF3CFD"/>
    <w:rsid w:val="00F03A72"/>
    <w:rsid w:val="00FF03DE"/>
    <w:rsid w:val="00FF30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6A540"/>
  <w15:docId w15:val="{E012F3F9-AC76-4323-885C-A8C12EC62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color w:val="2F5496"/>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rPr>
      <w:rFonts w:ascii="Cambria" w:hAnsi="Cambria" w:cs="Times New Roman"/>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uiPriority w:val="9"/>
    <w:rsid w:val="003070BC"/>
    <w:rPr>
      <w:rFonts w:asciiTheme="majorHAnsi" w:eastAsiaTheme="majorEastAsia" w:hAnsiTheme="majorHAnsi" w:cstheme="majorBidi"/>
      <w:color w:val="2F5496" w:themeColor="accent1" w:themeShade="BF"/>
      <w:kern w:val="0"/>
      <w:sz w:val="32"/>
      <w:szCs w:val="32"/>
      <w:lang w:val="es-ES_tradn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Textoennegrita">
    <w:name w:val="Strong"/>
    <w:basedOn w:val="Fuentedeprrafopredeter"/>
    <w:uiPriority w:val="22"/>
    <w:qFormat/>
    <w:rsid w:val="00737FC8"/>
    <w:rPr>
      <w:b/>
      <w:bCs/>
    </w:rPr>
  </w:style>
  <w:style w:type="character" w:styleId="nfasis">
    <w:name w:val="Emphasis"/>
    <w:basedOn w:val="Fuentedeprrafopredeter"/>
    <w:uiPriority w:val="20"/>
    <w:qFormat/>
    <w:rsid w:val="008A0A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1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hPxLh4NROof45tkOomzwWjv5ww==">CgMxLjA4AHIhMVVsZkJDSFNmbGhpcU0yZnNHUFpUYXM5OXkwOElGTHAt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2234</Characters>
  <Application>Microsoft Office Word</Application>
  <DocSecurity>0</DocSecurity>
  <Lines>18</Lines>
  <Paragraphs>5</Paragraphs>
  <ScaleCrop>false</ScaleCrop>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2</cp:revision>
  <dcterms:created xsi:type="dcterms:W3CDTF">2025-10-31T00:38:00Z</dcterms:created>
  <dcterms:modified xsi:type="dcterms:W3CDTF">2025-10-31T00:38:00Z</dcterms:modified>
</cp:coreProperties>
</file>